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D2F57" w14:textId="4D1E0B21" w:rsidR="001D5486" w:rsidRPr="001D5486" w:rsidRDefault="001D5486" w:rsidP="001D5486">
      <w:r w:rsidRPr="001D5486">
        <w:t xml:space="preserve">Across the Gulf Cooperation Council (GCC), </w:t>
      </w:r>
      <w:r w:rsidR="001D5B85">
        <w:t>corporations</w:t>
      </w:r>
      <w:r w:rsidRPr="001D5486">
        <w:t xml:space="preserve"> are engaging with Environmental, Social, and Governance (ESG) principles as the</w:t>
      </w:r>
      <w:r w:rsidR="001D5B85">
        <w:t>ir states</w:t>
      </w:r>
      <w:r w:rsidRPr="001D5486">
        <w:t xml:space="preserve"> pursue economic resilience and </w:t>
      </w:r>
      <w:r w:rsidR="00547C8A">
        <w:t>more globally aligned policies</w:t>
      </w:r>
      <w:r w:rsidRPr="001D5486">
        <w:t>.</w:t>
      </w:r>
      <w:r w:rsidR="00547C8A">
        <w:t xml:space="preserve"> </w:t>
      </w:r>
      <w:r w:rsidR="00547C8A" w:rsidRPr="00914035">
        <w:rPr>
          <w:b/>
          <w:bCs/>
          <w:i/>
          <w:iCs/>
        </w:rPr>
        <w:t xml:space="preserve">These </w:t>
      </w:r>
      <w:r w:rsidRPr="00914035">
        <w:rPr>
          <w:b/>
          <w:bCs/>
          <w:i/>
          <w:iCs/>
        </w:rPr>
        <w:t>countries are making moves towards sustainable practices that align with global ESG standards</w:t>
      </w:r>
      <w:r w:rsidR="00547C8A" w:rsidRPr="00914035">
        <w:rPr>
          <w:b/>
          <w:bCs/>
          <w:i/>
          <w:iCs/>
        </w:rPr>
        <w:t xml:space="preserve">, more </w:t>
      </w:r>
      <w:proofErr w:type="gramStart"/>
      <w:r w:rsidR="00547C8A" w:rsidRPr="00914035">
        <w:rPr>
          <w:b/>
          <w:bCs/>
          <w:i/>
          <w:iCs/>
        </w:rPr>
        <w:t>than</w:t>
      </w:r>
      <w:proofErr w:type="gramEnd"/>
      <w:r w:rsidR="00547C8A" w:rsidRPr="00914035">
        <w:rPr>
          <w:b/>
          <w:bCs/>
          <w:i/>
          <w:iCs/>
        </w:rPr>
        <w:t xml:space="preserve"> any time in history</w:t>
      </w:r>
      <w:r w:rsidRPr="00914035">
        <w:rPr>
          <w:b/>
          <w:bCs/>
          <w:i/>
          <w:iCs/>
        </w:rPr>
        <w:t>.</w:t>
      </w:r>
      <w:r w:rsidRPr="001D5486">
        <w:t xml:space="preserve"> Meeting these benchmarks present challenges, but the rewards—a </w:t>
      </w:r>
      <w:r w:rsidR="005B6D55">
        <w:t xml:space="preserve">more resilient </w:t>
      </w:r>
      <w:r w:rsidRPr="001D5486">
        <w:t xml:space="preserve">economy and a </w:t>
      </w:r>
      <w:r w:rsidR="005B6D55">
        <w:t>stronger</w:t>
      </w:r>
      <w:r w:rsidRPr="001D5486">
        <w:t xml:space="preserve"> global reputation—are pushing GCC firms to improve. For them, enhancing ESG ratings is more than an appeal to </w:t>
      </w:r>
      <w:r w:rsidR="005B6D55">
        <w:t xml:space="preserve">western </w:t>
      </w:r>
      <w:r w:rsidRPr="001D5486">
        <w:t xml:space="preserve">investors; it’s an opportunity to redefine themselves as proactive </w:t>
      </w:r>
      <w:r w:rsidR="005B6D55">
        <w:t xml:space="preserve">global </w:t>
      </w:r>
      <w:r w:rsidRPr="001D5486">
        <w:t xml:space="preserve">leaders on </w:t>
      </w:r>
      <w:r w:rsidR="005B6D55">
        <w:t>environmental</w:t>
      </w:r>
      <w:r w:rsidRPr="001D5486">
        <w:t xml:space="preserve"> and social issues.</w:t>
      </w:r>
    </w:p>
    <w:p w14:paraId="026DE896" w14:textId="77777777" w:rsidR="001D5486" w:rsidRPr="001D5486" w:rsidRDefault="001D5486" w:rsidP="001D5486">
      <w:pPr>
        <w:rPr>
          <w:b/>
          <w:bCs/>
        </w:rPr>
      </w:pPr>
      <w:r w:rsidRPr="001D5486">
        <w:rPr>
          <w:b/>
          <w:bCs/>
        </w:rPr>
        <w:t>Assessing ESG Progress and Gaps in Disclosure</w:t>
      </w:r>
    </w:p>
    <w:p w14:paraId="4D807D03" w14:textId="7C0952FA" w:rsidR="001D5486" w:rsidRPr="001D5486" w:rsidRDefault="001D5486" w:rsidP="001D5486">
      <w:r w:rsidRPr="00533785">
        <w:rPr>
          <w:b/>
          <w:bCs/>
        </w:rPr>
        <w:t xml:space="preserve">A recent analysis by </w:t>
      </w:r>
      <w:hyperlink r:id="rId8" w:history="1">
        <w:r w:rsidRPr="00533785">
          <w:rPr>
            <w:rStyle w:val="Hyperlink"/>
            <w:b/>
            <w:bCs/>
          </w:rPr>
          <w:t>Fruuit Consulting</w:t>
        </w:r>
      </w:hyperlink>
      <w:r w:rsidR="00C21162" w:rsidRPr="00533785">
        <w:rPr>
          <w:b/>
          <w:bCs/>
        </w:rPr>
        <w:t xml:space="preserve">, (an ESG ratings specialist firm) </w:t>
      </w:r>
      <w:r w:rsidRPr="00533785">
        <w:rPr>
          <w:b/>
          <w:bCs/>
        </w:rPr>
        <w:t>of 195 corporations across the GCC reveals a mixed ESG landscape, spotlighting both progress and areas where improvement is needed</w:t>
      </w:r>
      <w:r w:rsidRPr="001D5486">
        <w:t xml:space="preserve">. The </w:t>
      </w:r>
      <w:r w:rsidR="00342F41">
        <w:t>analysis</w:t>
      </w:r>
      <w:r w:rsidRPr="001D5486">
        <w:t xml:space="preserve"> categorized ESG disclosures into strong, average, and weak or nonexistent. Results showed that while about 10% of companies reported robust social policies</w:t>
      </w:r>
      <w:r w:rsidR="005952A5">
        <w:t xml:space="preserve">, for example </w:t>
      </w:r>
      <w:r w:rsidRPr="001D5486">
        <w:t>on employee welfare, human rights, and customer protection, roughly 25% had limited or no d</w:t>
      </w:r>
      <w:r w:rsidR="008F1B4C">
        <w:t xml:space="preserve">isclosure </w:t>
      </w:r>
      <w:r w:rsidRPr="001D5486">
        <w:t xml:space="preserve">on these </w:t>
      </w:r>
      <w:r w:rsidR="008F1B4C">
        <w:t>topic</w:t>
      </w:r>
      <w:r w:rsidRPr="001D5486">
        <w:t xml:space="preserve">s. On environmental issues, the gap was </w:t>
      </w:r>
      <w:r w:rsidR="008F1B4C">
        <w:t>worse</w:t>
      </w:r>
      <w:r w:rsidRPr="001D5486">
        <w:t xml:space="preserve">, with about 10% meeting high standards and nearly </w:t>
      </w:r>
      <w:r w:rsidR="004A21F1">
        <w:t xml:space="preserve">50% </w:t>
      </w:r>
      <w:r w:rsidRPr="001D5486">
        <w:t xml:space="preserve">showing minimal commitment to </w:t>
      </w:r>
      <w:r w:rsidR="004A21F1">
        <w:t>environmental</w:t>
      </w:r>
      <w:r w:rsidRPr="001D5486">
        <w:t xml:space="preserve">-related policies. </w:t>
      </w:r>
      <w:r w:rsidRPr="00533785">
        <w:rPr>
          <w:b/>
          <w:bCs/>
        </w:rPr>
        <w:t xml:space="preserve">Although these findings suggest room for improvement, several companies in the GCC are demonstrating that sustainable growth is </w:t>
      </w:r>
      <w:r w:rsidR="004A21F1" w:rsidRPr="00533785">
        <w:rPr>
          <w:b/>
          <w:bCs/>
        </w:rPr>
        <w:t>happening</w:t>
      </w:r>
      <w:r w:rsidRPr="00533785">
        <w:rPr>
          <w:b/>
          <w:bCs/>
        </w:rPr>
        <w:t xml:space="preserve"> in the Gulf states.</w:t>
      </w:r>
    </w:p>
    <w:p w14:paraId="5548B09C" w14:textId="77777777" w:rsidR="001D5486" w:rsidRPr="001D5486" w:rsidRDefault="001D5486" w:rsidP="001D5486">
      <w:pPr>
        <w:rPr>
          <w:b/>
          <w:bCs/>
        </w:rPr>
      </w:pPr>
      <w:r w:rsidRPr="001D5486">
        <w:rPr>
          <w:b/>
          <w:bCs/>
        </w:rPr>
        <w:t>GCC’s Vision for ESG: National Initiatives Leading the Way</w:t>
      </w:r>
    </w:p>
    <w:p w14:paraId="60AC3D51" w14:textId="296F42FF" w:rsidR="001D5486" w:rsidRPr="001D5486" w:rsidRDefault="001D5486" w:rsidP="001D5486">
      <w:r w:rsidRPr="001D5486">
        <w:t xml:space="preserve">Driven by national strategies like </w:t>
      </w:r>
      <w:hyperlink r:id="rId9" w:history="1">
        <w:r w:rsidRPr="001D5486">
          <w:rPr>
            <w:rStyle w:val="Hyperlink"/>
          </w:rPr>
          <w:t>Qatar Vision 2030</w:t>
        </w:r>
      </w:hyperlink>
      <w:r w:rsidRPr="001D5486">
        <w:t xml:space="preserve">, </w:t>
      </w:r>
      <w:hyperlink r:id="rId10" w:history="1">
        <w:r w:rsidRPr="001D5486">
          <w:rPr>
            <w:rStyle w:val="Hyperlink"/>
          </w:rPr>
          <w:t>Kuwait Vision 2035</w:t>
        </w:r>
      </w:hyperlink>
      <w:r w:rsidRPr="001D5486">
        <w:t xml:space="preserve">, and </w:t>
      </w:r>
      <w:hyperlink r:id="rId11" w:history="1">
        <w:r w:rsidRPr="001D5486">
          <w:rPr>
            <w:rStyle w:val="Hyperlink"/>
          </w:rPr>
          <w:t>Saudi Arabia’s Vision 2030</w:t>
        </w:r>
      </w:hyperlink>
      <w:r w:rsidRPr="001D5486">
        <w:t xml:space="preserve">, GCC countries are dedicated to reshaping their economies around sustainability and good governance. These initiatives underscore a commitment to reducing dependency on fossil fuels, increasing foreign investment, and adopting sustainable growth models. However, as the Fruuit Consulting study shows, there is a gap between these ambitious national visions and their execution at the corporate level, where challenges around transparency, </w:t>
      </w:r>
      <w:r w:rsidR="0069678C">
        <w:t>policy-in</w:t>
      </w:r>
      <w:r w:rsidRPr="001D5486">
        <w:t xml:space="preserve">consistency, and governance have </w:t>
      </w:r>
      <w:r w:rsidR="00D501CE">
        <w:t>stagnated</w:t>
      </w:r>
      <w:r w:rsidRPr="001D5486">
        <w:t xml:space="preserve"> more significant progress.</w:t>
      </w:r>
    </w:p>
    <w:p w14:paraId="4AB934CD" w14:textId="20EAFED4" w:rsidR="001D5486" w:rsidRPr="001D5486" w:rsidRDefault="001D5486" w:rsidP="001D5486">
      <w:r w:rsidRPr="001D5486">
        <w:t>GCC leaders are acutely aware of the need for evolution. At a 2023 finance and leadership summit, a delegate emphasized that for Gulf businesses to thrive, they need to embrace ESG as a pathway to resilience.</w:t>
      </w:r>
      <w:r w:rsidR="00D501CE">
        <w:rPr>
          <w:rStyle w:val="FootnoteReference"/>
        </w:rPr>
        <w:footnoteReference w:id="1"/>
      </w:r>
      <w:r w:rsidRPr="001D5486">
        <w:t xml:space="preserve"> The UAE</w:t>
      </w:r>
      <w:r w:rsidR="00D501CE">
        <w:rPr>
          <w:rStyle w:val="FootnoteReference"/>
        </w:rPr>
        <w:footnoteReference w:id="2"/>
      </w:r>
      <w:r w:rsidRPr="001D5486">
        <w:t xml:space="preserve"> and Saudi Arabia</w:t>
      </w:r>
      <w:r w:rsidR="00D501CE">
        <w:rPr>
          <w:rStyle w:val="FootnoteReference"/>
        </w:rPr>
        <w:footnoteReference w:id="3"/>
      </w:r>
      <w:r w:rsidRPr="001D5486">
        <w:t xml:space="preserve"> are taking the lead by introducing voluntary sustainability reporting guided by global ESG standards. The UAE’s Dubai Financial Market issued an </w:t>
      </w:r>
      <w:hyperlink r:id="rId12" w:history="1">
        <w:r w:rsidRPr="001D5486">
          <w:rPr>
            <w:rStyle w:val="Hyperlink"/>
          </w:rPr>
          <w:t>ESG Reporting Guide</w:t>
        </w:r>
      </w:hyperlink>
      <w:r w:rsidRPr="001D5486">
        <w:t xml:space="preserve"> in 2019, encouraging transparency, and the Qatar Stock Exchange has developed a </w:t>
      </w:r>
      <w:hyperlink r:id="rId13" w:history="1">
        <w:r w:rsidRPr="001D5486">
          <w:rPr>
            <w:rStyle w:val="Hyperlink"/>
          </w:rPr>
          <w:t>sustainability reporting platform</w:t>
        </w:r>
      </w:hyperlink>
      <w:r w:rsidRPr="001D5486">
        <w:t xml:space="preserve"> to support similar goals. Bahrain,</w:t>
      </w:r>
      <w:r w:rsidR="00D501CE">
        <w:rPr>
          <w:rStyle w:val="FootnoteReference"/>
        </w:rPr>
        <w:footnoteReference w:id="4"/>
      </w:r>
      <w:r w:rsidRPr="001D5486">
        <w:t xml:space="preserve"> Oman,</w:t>
      </w:r>
      <w:r w:rsidR="00D501CE">
        <w:rPr>
          <w:rStyle w:val="FootnoteReference"/>
        </w:rPr>
        <w:footnoteReference w:id="5"/>
      </w:r>
      <w:r w:rsidRPr="001D5486">
        <w:t xml:space="preserve"> and Kuwait</w:t>
      </w:r>
      <w:r w:rsidR="00D501CE">
        <w:rPr>
          <w:rStyle w:val="FootnoteReference"/>
        </w:rPr>
        <w:footnoteReference w:id="6"/>
      </w:r>
      <w:r w:rsidRPr="001D5486">
        <w:t xml:space="preserve"> have followed suit with voluntary ESG reporting guidelines</w:t>
      </w:r>
      <w:r w:rsidR="00F91046">
        <w:t>.</w:t>
      </w:r>
    </w:p>
    <w:p w14:paraId="2B90E244" w14:textId="77777777" w:rsidR="001D5486" w:rsidRPr="001D5486" w:rsidRDefault="001D5486" w:rsidP="001D5486">
      <w:pPr>
        <w:rPr>
          <w:b/>
          <w:bCs/>
        </w:rPr>
      </w:pPr>
      <w:r w:rsidRPr="001D5486">
        <w:rPr>
          <w:b/>
          <w:bCs/>
        </w:rPr>
        <w:t>Overcoming Structural Challenges</w:t>
      </w:r>
    </w:p>
    <w:p w14:paraId="70451DCC" w14:textId="2BD10181" w:rsidR="001D5486" w:rsidRPr="001D5486" w:rsidRDefault="001D5486" w:rsidP="001D5486">
      <w:r w:rsidRPr="001D5486">
        <w:t>Implementing strong ESG practices in the GCC requires overcoming deep-rooted structural barriers. The rentier economic model, which relies heavily on government revenue from natural resources, creates a dependence that can make sustainable initiatives more challenging to execute. Additionally, fragmented regulations and varying governance styles across GCC countries contribute to inconsistent disclosures, affecting transparency and investor confidence. A harmonized regulatory framework that aligns with local values and national goals could standardize ESG data and make disclosure practices more transparent. This step would foster investor confidence and provide a clearer picture of regional progress on ESG standards.</w:t>
      </w:r>
    </w:p>
    <w:p w14:paraId="269505CF" w14:textId="444534BD" w:rsidR="001D5486" w:rsidRPr="001D5486" w:rsidRDefault="001D5486" w:rsidP="001D5486">
      <w:pPr>
        <w:rPr>
          <w:b/>
          <w:bCs/>
        </w:rPr>
      </w:pPr>
      <w:r w:rsidRPr="001D5486">
        <w:rPr>
          <w:b/>
          <w:bCs/>
        </w:rPr>
        <w:t xml:space="preserve">Promising ESG Leaders: Examples of </w:t>
      </w:r>
      <w:r>
        <w:rPr>
          <w:b/>
          <w:bCs/>
        </w:rPr>
        <w:t>GCC</w:t>
      </w:r>
      <w:r w:rsidRPr="001D5486">
        <w:rPr>
          <w:b/>
          <w:bCs/>
        </w:rPr>
        <w:t xml:space="preserve"> Progress</w:t>
      </w:r>
    </w:p>
    <w:p w14:paraId="3E0CA2DA" w14:textId="03FA13AA" w:rsidR="001D5486" w:rsidRPr="001D5486" w:rsidRDefault="001D5486" w:rsidP="001D5486">
      <w:r w:rsidRPr="001D5486">
        <w:t xml:space="preserve">Despite these challenges, certain companies are leading by example. </w:t>
      </w:r>
      <w:hyperlink r:id="rId14" w:history="1">
        <w:r w:rsidRPr="001D5486">
          <w:rPr>
            <w:rStyle w:val="Hyperlink"/>
          </w:rPr>
          <w:t>Al Rajhi Bank’s</w:t>
        </w:r>
      </w:hyperlink>
      <w:r w:rsidRPr="001D5486">
        <w:t xml:space="preserve"> commitment to data privacy and internationally aligned governance practices stands out, as does Majid Al Futtaim’s comprehensive </w:t>
      </w:r>
      <w:hyperlink r:id="rId15" w:anchor="SustainabilityReports" w:history="1">
        <w:r w:rsidRPr="001D5486">
          <w:rPr>
            <w:rStyle w:val="Hyperlink"/>
          </w:rPr>
          <w:t>sustainability reporting framework</w:t>
        </w:r>
      </w:hyperlink>
      <w:r w:rsidRPr="001D5486">
        <w:t xml:space="preserve">. Additionally, </w:t>
      </w:r>
      <w:hyperlink r:id="rId16" w:anchor="page=17" w:history="1">
        <w:r w:rsidR="00BC06DC" w:rsidRPr="00BC06DC">
          <w:rPr>
            <w:rStyle w:val="Hyperlink"/>
          </w:rPr>
          <w:t xml:space="preserve">Bank al </w:t>
        </w:r>
        <w:r w:rsidRPr="001D5486">
          <w:rPr>
            <w:rStyle w:val="Hyperlink"/>
          </w:rPr>
          <w:t>Etihad</w:t>
        </w:r>
      </w:hyperlink>
      <w:r w:rsidRPr="001D5486">
        <w:t xml:space="preserve"> and </w:t>
      </w:r>
      <w:hyperlink r:id="rId17" w:history="1">
        <w:r w:rsidRPr="001D5486">
          <w:rPr>
            <w:rStyle w:val="Hyperlink"/>
          </w:rPr>
          <w:t>Etisalat</w:t>
        </w:r>
      </w:hyperlink>
      <w:r w:rsidRPr="001D5486">
        <w:t xml:space="preserve"> have shown strong commitments to employee welfare and responsible supply chain practices. These organizations set valuable precedents for other GCC companies, showing that successful ESG integration is not only feasible but beneficial for long-term success.</w:t>
      </w:r>
    </w:p>
    <w:p w14:paraId="0AE046BC" w14:textId="77777777" w:rsidR="001D5486" w:rsidRPr="001D5486" w:rsidRDefault="001D5486" w:rsidP="001D5486">
      <w:pPr>
        <w:rPr>
          <w:b/>
          <w:bCs/>
        </w:rPr>
      </w:pPr>
      <w:r w:rsidRPr="001D5486">
        <w:rPr>
          <w:b/>
          <w:bCs/>
        </w:rPr>
        <w:t>Conclusion: A Promising Outlook for ESG in the Gulf</w:t>
      </w:r>
    </w:p>
    <w:p w14:paraId="5F1029BD" w14:textId="31206654" w:rsidR="00C844B9" w:rsidRDefault="001D5486">
      <w:r w:rsidRPr="001D5486">
        <w:t xml:space="preserve">The GCC stands at a pivotal moment in its ESG journey. While significant challenges, such as regulatory inconsistencies and the need for better data transparency, still hinder progress, they also represent opportunities for transformation. The </w:t>
      </w:r>
      <w:r>
        <w:t>GCC</w:t>
      </w:r>
      <w:r w:rsidRPr="001D5486">
        <w:t xml:space="preserve">’s ambitious national visions and the early successes of companies like Al Rajhi Bank, Etihad, and Majid Al Futtaim illustrate that a foundation for ESG transformation is already in place. As Gulf states continue to build momentum in this area, they have the potential to establish themselves as leaders in sustainable development, setting an example for the world on the integration of ESG principles in resource-rich economies. With sustained commitment, the GCC can turn ESG from a challenge into a defining asset </w:t>
      </w:r>
      <w:r w:rsidR="007A1874">
        <w:t>for</w:t>
      </w:r>
      <w:r w:rsidRPr="001D5486">
        <w:t xml:space="preserve"> its economic future.</w:t>
      </w:r>
    </w:p>
    <w:p w14:paraId="518DFC8A" w14:textId="77777777" w:rsidR="007A1874" w:rsidRDefault="007A1874"/>
    <w:p w14:paraId="52C5688A" w14:textId="767AF8BD" w:rsidR="007A1874" w:rsidRDefault="007A1874">
      <w:r>
        <w:t>David Frazer</w:t>
      </w:r>
      <w:r w:rsidR="00880BE7">
        <w:t xml:space="preserve"> </w:t>
      </w:r>
      <w:r w:rsidR="00F13D5C">
        <w:t xml:space="preserve">is CEO of Fruuit Consulting, an ESG ratings specialist firm that is working with corporations across globally, including the </w:t>
      </w:r>
      <w:proofErr w:type="gramStart"/>
      <w:r w:rsidR="00F13D5C">
        <w:t>middle-east</w:t>
      </w:r>
      <w:proofErr w:type="gramEnd"/>
      <w:r w:rsidR="00F13D5C">
        <w:t xml:space="preserve">, to improve their ESG disclosures, and ESG ratings. </w:t>
      </w:r>
      <w:r w:rsidR="00916E24">
        <w:t>David is</w:t>
      </w:r>
      <w:r w:rsidR="00FF16C0">
        <w:t xml:space="preserve"> based in Canada</w:t>
      </w:r>
      <w:r w:rsidR="00345C03">
        <w:t xml:space="preserve"> – he has a MA in International Economics from Johns Hopkins University, and a</w:t>
      </w:r>
      <w:r w:rsidR="00880BE7">
        <w:t xml:space="preserve"> Law degree in progress at the University of London. Before being CEO, David </w:t>
      </w:r>
      <w:r w:rsidR="00880BE7">
        <w:lastRenderedPageBreak/>
        <w:t>directed the ESG strategy for one of Canada’s largest sustainable equity funds</w:t>
      </w:r>
      <w:r w:rsidR="00D309E3">
        <w:t xml:space="preserve"> and before that, he worked on ESG ratings methodology at the two largest ESG raters – MSCI and Sustainalytics. </w:t>
      </w:r>
    </w:p>
    <w:sectPr w:rsidR="007A1874">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33740" w14:textId="77777777" w:rsidR="00E27537" w:rsidRDefault="00E27537" w:rsidP="00D501CE">
      <w:pPr>
        <w:spacing w:after="0" w:line="240" w:lineRule="auto"/>
      </w:pPr>
      <w:r>
        <w:separator/>
      </w:r>
    </w:p>
  </w:endnote>
  <w:endnote w:type="continuationSeparator" w:id="0">
    <w:p w14:paraId="10C5029E" w14:textId="77777777" w:rsidR="00E27537" w:rsidRDefault="00E27537" w:rsidP="00D50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9B1A8" w14:textId="77777777" w:rsidR="00E27537" w:rsidRDefault="00E27537" w:rsidP="00D501CE">
      <w:pPr>
        <w:spacing w:after="0" w:line="240" w:lineRule="auto"/>
      </w:pPr>
      <w:r>
        <w:separator/>
      </w:r>
    </w:p>
  </w:footnote>
  <w:footnote w:type="continuationSeparator" w:id="0">
    <w:p w14:paraId="483EA0BA" w14:textId="77777777" w:rsidR="00E27537" w:rsidRDefault="00E27537" w:rsidP="00D501CE">
      <w:pPr>
        <w:spacing w:after="0" w:line="240" w:lineRule="auto"/>
      </w:pPr>
      <w:r>
        <w:continuationSeparator/>
      </w:r>
    </w:p>
  </w:footnote>
  <w:footnote w:id="1">
    <w:p w14:paraId="312CB3F0" w14:textId="657D9A65" w:rsidR="00D501CE" w:rsidRDefault="00D501CE">
      <w:pPr>
        <w:pStyle w:val="FootnoteText"/>
      </w:pPr>
      <w:r>
        <w:rPr>
          <w:rStyle w:val="FootnoteReference"/>
        </w:rPr>
        <w:footnoteRef/>
      </w:r>
      <w:r>
        <w:t xml:space="preserve"> AB Magazine, “</w:t>
      </w:r>
      <w:hyperlink r:id="rId1" w:history="1">
        <w:r w:rsidRPr="00D501CE">
          <w:rPr>
            <w:rStyle w:val="Hyperlink"/>
          </w:rPr>
          <w:t xml:space="preserve">Corporate GCC must </w:t>
        </w:r>
        <w:proofErr w:type="spellStart"/>
        <w:r w:rsidRPr="00D501CE">
          <w:rPr>
            <w:rStyle w:val="Hyperlink"/>
          </w:rPr>
          <w:t>prioritise</w:t>
        </w:r>
        <w:proofErr w:type="spellEnd"/>
        <w:r w:rsidRPr="00D501CE">
          <w:rPr>
            <w:rStyle w:val="Hyperlink"/>
          </w:rPr>
          <w:t xml:space="preserve"> ESG</w:t>
        </w:r>
      </w:hyperlink>
      <w:r>
        <w:t xml:space="preserve">”. </w:t>
      </w:r>
    </w:p>
  </w:footnote>
  <w:footnote w:id="2">
    <w:p w14:paraId="6F5C4289" w14:textId="00983982" w:rsidR="00D501CE" w:rsidRDefault="00D501CE">
      <w:pPr>
        <w:pStyle w:val="FootnoteText"/>
      </w:pPr>
      <w:r>
        <w:rPr>
          <w:rStyle w:val="FootnoteReference"/>
        </w:rPr>
        <w:footnoteRef/>
      </w:r>
      <w:r>
        <w:t xml:space="preserve"> UAE Securities &amp; Commodities Authority, “</w:t>
      </w:r>
      <w:hyperlink r:id="rId2" w:anchor=":~:text=The%20principles%20highlight%20four%20major,relevance%2C%20and%20stakeholder%20engagement%20when" w:history="1">
        <w:r w:rsidRPr="00D501CE">
          <w:rPr>
            <w:rStyle w:val="Hyperlink"/>
          </w:rPr>
          <w:t>The UAE SFWG launches the Principles for Sustainability-Related Disclosures for Reporting Entities in line with the Year of Sustainability</w:t>
        </w:r>
      </w:hyperlink>
      <w:r>
        <w:t>”.</w:t>
      </w:r>
    </w:p>
  </w:footnote>
  <w:footnote w:id="3">
    <w:p w14:paraId="5DDCF4EB" w14:textId="7903D4FD" w:rsidR="00D501CE" w:rsidRDefault="00D501CE">
      <w:pPr>
        <w:pStyle w:val="FootnoteText"/>
      </w:pPr>
      <w:r>
        <w:rPr>
          <w:rStyle w:val="FootnoteReference"/>
        </w:rPr>
        <w:footnoteRef/>
      </w:r>
      <w:r>
        <w:t xml:space="preserve"> Sustainable Stock Exchange Initiative, “</w:t>
      </w:r>
      <w:hyperlink r:id="rId3" w:history="1">
        <w:r w:rsidRPr="00D501CE">
          <w:rPr>
            <w:rStyle w:val="Hyperlink"/>
          </w:rPr>
          <w:t>Exchange in Focus: Saudi Exchange publishes ESG Disclosure Guidelines</w:t>
        </w:r>
      </w:hyperlink>
      <w:r>
        <w:t xml:space="preserve">”. </w:t>
      </w:r>
    </w:p>
  </w:footnote>
  <w:footnote w:id="4">
    <w:p w14:paraId="168D180F" w14:textId="36117E15" w:rsidR="00D501CE" w:rsidRDefault="00D501CE">
      <w:pPr>
        <w:pStyle w:val="FootnoteText"/>
      </w:pPr>
      <w:r>
        <w:rPr>
          <w:rStyle w:val="FootnoteReference"/>
        </w:rPr>
        <w:footnoteRef/>
      </w:r>
      <w:r>
        <w:t xml:space="preserve"> Bahrain Bourse, </w:t>
      </w:r>
      <w:hyperlink r:id="rId4" w:history="1">
        <w:r w:rsidRPr="00EE2B41">
          <w:rPr>
            <w:rStyle w:val="Hyperlink"/>
          </w:rPr>
          <w:t>ESG Reporting Guidelines</w:t>
        </w:r>
      </w:hyperlink>
      <w:r>
        <w:t>.</w:t>
      </w:r>
    </w:p>
  </w:footnote>
  <w:footnote w:id="5">
    <w:p w14:paraId="3B5CAD54" w14:textId="684478E4" w:rsidR="00D501CE" w:rsidRDefault="00D501CE">
      <w:pPr>
        <w:pStyle w:val="FootnoteText"/>
      </w:pPr>
      <w:r>
        <w:rPr>
          <w:rStyle w:val="FootnoteReference"/>
        </w:rPr>
        <w:footnoteRef/>
      </w:r>
      <w:r>
        <w:t xml:space="preserve"> Muskat Stock Exchange, </w:t>
      </w:r>
      <w:hyperlink r:id="rId5" w:history="1">
        <w:r w:rsidRPr="00EE2B41">
          <w:rPr>
            <w:rStyle w:val="Hyperlink"/>
          </w:rPr>
          <w:t>ESG Disclosure Guidelines.</w:t>
        </w:r>
      </w:hyperlink>
    </w:p>
  </w:footnote>
  <w:footnote w:id="6">
    <w:p w14:paraId="7055D201" w14:textId="2CC67B92" w:rsidR="00D501CE" w:rsidRDefault="00D501CE">
      <w:pPr>
        <w:pStyle w:val="FootnoteText"/>
      </w:pPr>
      <w:r>
        <w:rPr>
          <w:rStyle w:val="FootnoteReference"/>
        </w:rPr>
        <w:footnoteRef/>
      </w:r>
      <w:r>
        <w:t xml:space="preserve"> </w:t>
      </w:r>
      <w:proofErr w:type="spellStart"/>
      <w:r>
        <w:t>Boursa</w:t>
      </w:r>
      <w:proofErr w:type="spellEnd"/>
      <w:r>
        <w:t xml:space="preserve"> Kuwait, </w:t>
      </w:r>
      <w:hyperlink r:id="rId6" w:history="1">
        <w:r w:rsidRPr="00EE2B41">
          <w:rPr>
            <w:rStyle w:val="Hyperlink"/>
          </w:rPr>
          <w:t>ESG Reporting Guide</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67C0B" w14:textId="00487233" w:rsidR="00914035" w:rsidRDefault="00914035" w:rsidP="00914035">
    <w:pPr>
      <w:jc w:val="center"/>
      <w:rPr>
        <w:b/>
        <w:bCs/>
        <w:i/>
        <w:iCs/>
      </w:rPr>
    </w:pPr>
    <w:r>
      <w:rPr>
        <w:i/>
        <w:iCs/>
        <w:noProof/>
      </w:rPr>
      <w:drawing>
        <wp:anchor distT="0" distB="0" distL="114300" distR="114300" simplePos="0" relativeHeight="251658240" behindDoc="0" locked="0" layoutInCell="1" allowOverlap="1" wp14:anchorId="4D3F8EEA" wp14:editId="482CA96C">
          <wp:simplePos x="0" y="0"/>
          <wp:positionH relativeFrom="column">
            <wp:posOffset>4641850</wp:posOffset>
          </wp:positionH>
          <wp:positionV relativeFrom="paragraph">
            <wp:posOffset>-609600</wp:posOffset>
          </wp:positionV>
          <wp:extent cx="1955800" cy="1663700"/>
          <wp:effectExtent l="0" t="0" r="0" b="0"/>
          <wp:wrapThrough wrapText="bothSides">
            <wp:wrapPolygon edited="0">
              <wp:start x="7153" y="3463"/>
              <wp:lineTo x="3787" y="3957"/>
              <wp:lineTo x="421" y="5936"/>
              <wp:lineTo x="0" y="9151"/>
              <wp:lineTo x="210" y="10140"/>
              <wp:lineTo x="1052" y="11872"/>
              <wp:lineTo x="1052" y="12119"/>
              <wp:lineTo x="2735" y="16571"/>
              <wp:lineTo x="20829" y="16571"/>
              <wp:lineTo x="21249" y="11872"/>
              <wp:lineTo x="17252" y="7915"/>
              <wp:lineTo x="17462" y="6925"/>
              <wp:lineTo x="8205" y="3463"/>
              <wp:lineTo x="7153" y="3463"/>
            </wp:wrapPolygon>
          </wp:wrapThrough>
          <wp:docPr id="489139984" name="Picture 1" descr="A logo of a tree with oran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39984" name="Picture 1" descr="A logo of a tree with orang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5800" cy="1663700"/>
                  </a:xfrm>
                  <a:prstGeom prst="rect">
                    <a:avLst/>
                  </a:prstGeom>
                </pic:spPr>
              </pic:pic>
            </a:graphicData>
          </a:graphic>
          <wp14:sizeRelV relativeFrom="margin">
            <wp14:pctHeight>0</wp14:pctHeight>
          </wp14:sizeRelV>
        </wp:anchor>
      </w:drawing>
    </w:r>
    <w:r>
      <w:rPr>
        <w:b/>
        <w:bCs/>
        <w:i/>
        <w:iCs/>
      </w:rPr>
      <w:t xml:space="preserve">The Gulf States Tackle ESG, </w:t>
    </w:r>
    <w:r>
      <w:rPr>
        <w:b/>
        <w:bCs/>
        <w:i/>
        <w:iCs/>
      </w:rPr>
      <w:t>Despite</w:t>
    </w:r>
    <w:r>
      <w:rPr>
        <w:b/>
        <w:bCs/>
        <w:i/>
        <w:iCs/>
      </w:rPr>
      <w:t xml:space="preserve"> Challenges</w:t>
    </w:r>
  </w:p>
  <w:p w14:paraId="22BEB08D" w14:textId="0D60DDF5" w:rsidR="00914035" w:rsidRDefault="00914035" w:rsidP="00914035">
    <w:pPr>
      <w:jc w:val="center"/>
      <w:rPr>
        <w:b/>
        <w:bCs/>
        <w:i/>
        <w:iCs/>
      </w:rPr>
    </w:pPr>
  </w:p>
  <w:p w14:paraId="44B90669" w14:textId="77777777" w:rsidR="00914035" w:rsidRDefault="00914035" w:rsidP="009140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578FF"/>
    <w:multiLevelType w:val="multilevel"/>
    <w:tmpl w:val="57AA8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9725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86"/>
    <w:rsid w:val="00150047"/>
    <w:rsid w:val="001D5486"/>
    <w:rsid w:val="001D5B85"/>
    <w:rsid w:val="00342F41"/>
    <w:rsid w:val="00345C03"/>
    <w:rsid w:val="004A21F1"/>
    <w:rsid w:val="00533785"/>
    <w:rsid w:val="00547C8A"/>
    <w:rsid w:val="005952A5"/>
    <w:rsid w:val="005B6D55"/>
    <w:rsid w:val="005D1DB6"/>
    <w:rsid w:val="00614A70"/>
    <w:rsid w:val="0069678C"/>
    <w:rsid w:val="006A4E85"/>
    <w:rsid w:val="006D604F"/>
    <w:rsid w:val="007753C4"/>
    <w:rsid w:val="007A1874"/>
    <w:rsid w:val="00880BE7"/>
    <w:rsid w:val="008F1B4C"/>
    <w:rsid w:val="00914035"/>
    <w:rsid w:val="00916E24"/>
    <w:rsid w:val="009770C6"/>
    <w:rsid w:val="00991897"/>
    <w:rsid w:val="00A515C9"/>
    <w:rsid w:val="00AB4636"/>
    <w:rsid w:val="00B01142"/>
    <w:rsid w:val="00BC06DC"/>
    <w:rsid w:val="00BC39DF"/>
    <w:rsid w:val="00BE7450"/>
    <w:rsid w:val="00C21162"/>
    <w:rsid w:val="00C844B9"/>
    <w:rsid w:val="00D309E3"/>
    <w:rsid w:val="00D501CE"/>
    <w:rsid w:val="00E27537"/>
    <w:rsid w:val="00EE2B41"/>
    <w:rsid w:val="00F13D5C"/>
    <w:rsid w:val="00F82C47"/>
    <w:rsid w:val="00F91046"/>
    <w:rsid w:val="00FF1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462C5"/>
  <w15:chartTrackingRefBased/>
  <w15:docId w15:val="{7EC2132B-E8E8-47A0-82F8-BF0EACAD8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5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54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4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4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4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4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4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4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54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4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4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4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486"/>
    <w:rPr>
      <w:rFonts w:eastAsiaTheme="majorEastAsia" w:cstheme="majorBidi"/>
      <w:color w:val="272727" w:themeColor="text1" w:themeTint="D8"/>
    </w:rPr>
  </w:style>
  <w:style w:type="paragraph" w:styleId="Title">
    <w:name w:val="Title"/>
    <w:basedOn w:val="Normal"/>
    <w:next w:val="Normal"/>
    <w:link w:val="TitleChar"/>
    <w:uiPriority w:val="10"/>
    <w:qFormat/>
    <w:rsid w:val="001D5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4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486"/>
    <w:pPr>
      <w:spacing w:before="160"/>
      <w:jc w:val="center"/>
    </w:pPr>
    <w:rPr>
      <w:i/>
      <w:iCs/>
      <w:color w:val="404040" w:themeColor="text1" w:themeTint="BF"/>
    </w:rPr>
  </w:style>
  <w:style w:type="character" w:customStyle="1" w:styleId="QuoteChar">
    <w:name w:val="Quote Char"/>
    <w:basedOn w:val="DefaultParagraphFont"/>
    <w:link w:val="Quote"/>
    <w:uiPriority w:val="29"/>
    <w:rsid w:val="001D5486"/>
    <w:rPr>
      <w:i/>
      <w:iCs/>
      <w:color w:val="404040" w:themeColor="text1" w:themeTint="BF"/>
    </w:rPr>
  </w:style>
  <w:style w:type="paragraph" w:styleId="ListParagraph">
    <w:name w:val="List Paragraph"/>
    <w:basedOn w:val="Normal"/>
    <w:uiPriority w:val="34"/>
    <w:qFormat/>
    <w:rsid w:val="001D5486"/>
    <w:pPr>
      <w:ind w:left="720"/>
      <w:contextualSpacing/>
    </w:pPr>
  </w:style>
  <w:style w:type="character" w:styleId="IntenseEmphasis">
    <w:name w:val="Intense Emphasis"/>
    <w:basedOn w:val="DefaultParagraphFont"/>
    <w:uiPriority w:val="21"/>
    <w:qFormat/>
    <w:rsid w:val="001D5486"/>
    <w:rPr>
      <w:i/>
      <w:iCs/>
      <w:color w:val="0F4761" w:themeColor="accent1" w:themeShade="BF"/>
    </w:rPr>
  </w:style>
  <w:style w:type="paragraph" w:styleId="IntenseQuote">
    <w:name w:val="Intense Quote"/>
    <w:basedOn w:val="Normal"/>
    <w:next w:val="Normal"/>
    <w:link w:val="IntenseQuoteChar"/>
    <w:uiPriority w:val="30"/>
    <w:qFormat/>
    <w:rsid w:val="001D5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486"/>
    <w:rPr>
      <w:i/>
      <w:iCs/>
      <w:color w:val="0F4761" w:themeColor="accent1" w:themeShade="BF"/>
    </w:rPr>
  </w:style>
  <w:style w:type="character" w:styleId="IntenseReference">
    <w:name w:val="Intense Reference"/>
    <w:basedOn w:val="DefaultParagraphFont"/>
    <w:uiPriority w:val="32"/>
    <w:qFormat/>
    <w:rsid w:val="001D5486"/>
    <w:rPr>
      <w:b/>
      <w:bCs/>
      <w:smallCaps/>
      <w:color w:val="0F4761" w:themeColor="accent1" w:themeShade="BF"/>
      <w:spacing w:val="5"/>
    </w:rPr>
  </w:style>
  <w:style w:type="character" w:styleId="Hyperlink">
    <w:name w:val="Hyperlink"/>
    <w:basedOn w:val="DefaultParagraphFont"/>
    <w:uiPriority w:val="99"/>
    <w:unhideWhenUsed/>
    <w:rsid w:val="001D5486"/>
    <w:rPr>
      <w:color w:val="467886" w:themeColor="hyperlink"/>
      <w:u w:val="single"/>
    </w:rPr>
  </w:style>
  <w:style w:type="character" w:styleId="UnresolvedMention">
    <w:name w:val="Unresolved Mention"/>
    <w:basedOn w:val="DefaultParagraphFont"/>
    <w:uiPriority w:val="99"/>
    <w:semiHidden/>
    <w:unhideWhenUsed/>
    <w:rsid w:val="001D5486"/>
    <w:rPr>
      <w:color w:val="605E5C"/>
      <w:shd w:val="clear" w:color="auto" w:fill="E1DFDD"/>
    </w:rPr>
  </w:style>
  <w:style w:type="paragraph" w:styleId="FootnoteText">
    <w:name w:val="footnote text"/>
    <w:basedOn w:val="Normal"/>
    <w:link w:val="FootnoteTextChar"/>
    <w:uiPriority w:val="99"/>
    <w:semiHidden/>
    <w:unhideWhenUsed/>
    <w:rsid w:val="00D501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01CE"/>
    <w:rPr>
      <w:sz w:val="20"/>
      <w:szCs w:val="20"/>
    </w:rPr>
  </w:style>
  <w:style w:type="character" w:styleId="FootnoteReference">
    <w:name w:val="footnote reference"/>
    <w:basedOn w:val="DefaultParagraphFont"/>
    <w:uiPriority w:val="99"/>
    <w:semiHidden/>
    <w:unhideWhenUsed/>
    <w:rsid w:val="00D501CE"/>
    <w:rPr>
      <w:vertAlign w:val="superscript"/>
    </w:rPr>
  </w:style>
  <w:style w:type="paragraph" w:styleId="Header">
    <w:name w:val="header"/>
    <w:basedOn w:val="Normal"/>
    <w:link w:val="HeaderChar"/>
    <w:uiPriority w:val="99"/>
    <w:unhideWhenUsed/>
    <w:rsid w:val="00914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035"/>
  </w:style>
  <w:style w:type="paragraph" w:styleId="Footer">
    <w:name w:val="footer"/>
    <w:basedOn w:val="Normal"/>
    <w:link w:val="FooterChar"/>
    <w:uiPriority w:val="99"/>
    <w:unhideWhenUsed/>
    <w:rsid w:val="00914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37528">
      <w:bodyDiv w:val="1"/>
      <w:marLeft w:val="0"/>
      <w:marRight w:val="0"/>
      <w:marTop w:val="0"/>
      <w:marBottom w:val="0"/>
      <w:divBdr>
        <w:top w:val="none" w:sz="0" w:space="0" w:color="auto"/>
        <w:left w:val="none" w:sz="0" w:space="0" w:color="auto"/>
        <w:bottom w:val="none" w:sz="0" w:space="0" w:color="auto"/>
        <w:right w:val="none" w:sz="0" w:space="0" w:color="auto"/>
      </w:divBdr>
    </w:div>
    <w:div w:id="165040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uuitconsulting.com/" TargetMode="External"/><Relationship Id="rId13" Type="http://schemas.openxmlformats.org/officeDocument/2006/relationships/hyperlink" Target="https://qse.arabsustainability.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dfm.ae/docs/default-source/dfm-documents/dfm-guide-to-esg-reporting-2023.pdf?sfvrsn=6b51f481_2" TargetMode="External"/><Relationship Id="rId17" Type="http://schemas.openxmlformats.org/officeDocument/2006/relationships/hyperlink" Target="https://www.eand.com/content/dam/eand/assets/docs/latest-announcements/2024/eandSR23-English-compressed.pdf" TargetMode="External"/><Relationship Id="rId2" Type="http://schemas.openxmlformats.org/officeDocument/2006/relationships/numbering" Target="numbering.xml"/><Relationship Id="rId16" Type="http://schemas.openxmlformats.org/officeDocument/2006/relationships/hyperlink" Target="https://websitev3-cms-cdn.bankaletihad.com/2024/08/BAE-Sustainability-Report-2023-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sion2030.gov.sa/media/quudi5wq/vision-2030-overview.pdf" TargetMode="External"/><Relationship Id="rId5" Type="http://schemas.openxmlformats.org/officeDocument/2006/relationships/webSettings" Target="webSettings.xml"/><Relationship Id="rId15" Type="http://schemas.openxmlformats.org/officeDocument/2006/relationships/hyperlink" Target="https://www.majidalfuttaim.com/en/who-we-are/sustainability-and-esg/reports" TargetMode="External"/><Relationship Id="rId10" Type="http://schemas.openxmlformats.org/officeDocument/2006/relationships/hyperlink" Target="https://www.mofa.gov.kw/en/pages/kuwait-vision-203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sa.gov.qa/en/qnv1/Documents/QNV2030_English_v2.pdf" TargetMode="External"/><Relationship Id="rId14" Type="http://schemas.openxmlformats.org/officeDocument/2006/relationships/hyperlink" Target="https://www.alrajhibank.com.sa/ir23/esg_report/esg_report.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seinitiative.org/all-news/saudi-stock-exchange-tadawul" TargetMode="External"/><Relationship Id="rId2" Type="http://schemas.openxmlformats.org/officeDocument/2006/relationships/hyperlink" Target="https://www.sca.gov.ae/en/media-center/news/10/6/2024/the-uae-sfwg-launches-the-principles-for-sustainability-related-disclosures-for-reporting-entities.aspx" TargetMode="External"/><Relationship Id="rId1" Type="http://schemas.openxmlformats.org/officeDocument/2006/relationships/hyperlink" Target="https://abmagazine.accaglobal.com/global/articles/2023/jun/business/corporate-gcc-must-prioritise-esg.html" TargetMode="External"/><Relationship Id="rId6" Type="http://schemas.openxmlformats.org/officeDocument/2006/relationships/hyperlink" Target="https://www.boursakuwait.com.kw/api/documents/boursa/1684840404216.pdf" TargetMode="External"/><Relationship Id="rId5" Type="http://schemas.openxmlformats.org/officeDocument/2006/relationships/hyperlink" Target="https://www.msx.om/MSMDOCS/downloads/ESG-MSX-E.pdf" TargetMode="External"/><Relationship Id="rId4" Type="http://schemas.openxmlformats.org/officeDocument/2006/relationships/hyperlink" Target="https://bahrainbourse.com/resources/files/Sustainability/ESG_11%20June%20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D86FF-4536-4239-BF9A-DAD13BCA2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Sydnei Cartwright</dc:creator>
  <cp:keywords/>
  <dc:description/>
  <cp:lastModifiedBy>David Frazer</cp:lastModifiedBy>
  <cp:revision>27</cp:revision>
  <dcterms:created xsi:type="dcterms:W3CDTF">2024-11-02T17:10:00Z</dcterms:created>
  <dcterms:modified xsi:type="dcterms:W3CDTF">2025-01-29T18:43:00Z</dcterms:modified>
</cp:coreProperties>
</file>